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UK sanctions screening policy and procedure template</w:t>
      </w:r>
    </w:p>
    <w:p>
      <w:pPr>
        <w:pStyle w:val="Subtitle"/>
      </w:pPr>
      <w:r>
        <w:t>For accountancy practices and smaller legal firms</w:t>
      </w:r>
    </w:p>
    <w:p>
      <w:r>
        <w:t>Version 1.0  |  Sources checked 25 September 2026  |  Published by Sanction Search</w:t>
      </w:r>
    </w:p>
    <w:p>
      <w:r>
        <w:t>Use this pack to document who checks, who decides and what evidence your practice retains. It contains sample policy clauses, a staff procedure, a blank review record and fictional worked examples. Read it alongside the linked implementation guide and current official guidance.</w:t>
      </w:r>
    </w:p>
    <w:p>
      <w:pPr>
        <w:pStyle w:val="Heading2"/>
      </w:pPr>
      <w:r>
        <w:t>Before your firm adopts it</w:t>
      </w:r>
    </w:p>
    <w:p>
      <w:r>
        <w:t>This is general information and suggested wording, not legal advice, a complete AML manual or a regulator-approved policy. It has no independent legal certification. Replace every bracketed field, tailor the instructions to your services and applicable obligations, and obtain approval from your responsible partner or suitably qualified adviser. SRA references concern its regulated firms and individuals in England and Wales.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056"/>
      </w:tblGrid>
      <w:tr>
        <w:trPr>
          <w:tblHeader/>
          <w:cantSplit/>
        </w:trPr>
        <w:tc>
          <w:tcPr>
            <w:tcW w:type="dxa" w:w="2880"/>
            <w:shd w:fill="E8EDEB"/>
            <w:vAlign w:val="center"/>
          </w:tcPr>
          <w:p>
            <w:pPr>
              <w:spacing w:after="100" w:before="100"/>
            </w:pPr>
            <w:r>
              <w:rPr>
                <w:b/>
              </w:rPr>
              <w:t>Document control</w:t>
            </w:r>
          </w:p>
        </w:tc>
        <w:tc>
          <w:tcPr>
            <w:tcW w:type="dxa" w:w="7056"/>
            <w:shd w:fill="E8EDEB"/>
            <w:vAlign w:val="center"/>
          </w:tcPr>
          <w:p>
            <w:pPr>
              <w:spacing w:after="100" w:before="100"/>
            </w:pPr>
            <w:r>
              <w:rPr>
                <w:b/>
              </w:rPr>
              <w:t>Complete before use</w:t>
            </w:r>
          </w:p>
        </w:tc>
      </w:tr>
      <w:tr>
        <w:trPr>
          <w:cantSplit/>
        </w:trPr>
        <w:tc>
          <w:tcPr>
            <w:tcW w:type="dxa" w:w="2880"/>
            <w:vAlign w:val="center"/>
          </w:tcPr>
          <w:p>
            <w:pPr>
              <w:spacing w:after="100" w:before="100"/>
            </w:pPr>
            <w:r>
              <w:t>Firm and services</w:t>
            </w:r>
          </w:p>
        </w:tc>
        <w:tc>
          <w:tcPr>
            <w:tcW w:type="dxa" w:w="7056"/>
            <w:vAlign w:val="center"/>
          </w:tcPr>
          <w:p>
            <w:pPr>
              <w:spacing w:after="100" w:before="100"/>
            </w:pPr>
            <w:r>
              <w:t>[Firm name and services covered]</w:t>
            </w:r>
          </w:p>
        </w:tc>
      </w:tr>
      <w:tr>
        <w:trPr>
          <w:cantSplit/>
        </w:trPr>
        <w:tc>
          <w:tcPr>
            <w:tcW w:type="dxa" w:w="2880"/>
            <w:vAlign w:val="center"/>
          </w:tcPr>
          <w:p>
            <w:pPr>
              <w:spacing w:after="100" w:before="100"/>
            </w:pPr>
            <w:r>
              <w:t>Policy owner and deputy</w:t>
            </w:r>
          </w:p>
        </w:tc>
        <w:tc>
          <w:tcPr>
            <w:tcW w:type="dxa" w:w="7056"/>
            <w:vAlign w:val="center"/>
          </w:tcPr>
          <w:p>
            <w:pPr>
              <w:spacing w:after="100" w:before="100"/>
            </w:pPr>
            <w:r>
              <w:t>[Names or roles and contact details]</w:t>
            </w:r>
          </w:p>
        </w:tc>
      </w:tr>
      <w:tr>
        <w:trPr>
          <w:cantSplit/>
        </w:trPr>
        <w:tc>
          <w:tcPr>
            <w:tcW w:type="dxa" w:w="2880"/>
            <w:vAlign w:val="center"/>
          </w:tcPr>
          <w:p>
            <w:pPr>
              <w:spacing w:after="100" w:before="100"/>
            </w:pPr>
            <w:r>
              <w:t>Approval</w:t>
            </w:r>
          </w:p>
        </w:tc>
        <w:tc>
          <w:tcPr>
            <w:tcW w:type="dxa" w:w="7056"/>
            <w:vAlign w:val="center"/>
          </w:tcPr>
          <w:p>
            <w:pPr>
              <w:spacing w:after="100" w:before="100"/>
            </w:pPr>
            <w:r>
              <w:t>[Approver, approval date and effective date]</w:t>
            </w:r>
          </w:p>
        </w:tc>
      </w:tr>
      <w:tr>
        <w:trPr>
          <w:cantSplit/>
        </w:trPr>
        <w:tc>
          <w:tcPr>
            <w:tcW w:type="dxa" w:w="2880"/>
            <w:vAlign w:val="center"/>
          </w:tcPr>
          <w:p>
            <w:pPr>
              <w:spacing w:after="100" w:before="100"/>
            </w:pPr>
            <w:r>
              <w:t>Version and next review</w:t>
            </w:r>
          </w:p>
        </w:tc>
        <w:tc>
          <w:tcPr>
            <w:tcW w:type="dxa" w:w="7056"/>
            <w:vAlign w:val="center"/>
          </w:tcPr>
          <w:p>
            <w:pPr>
              <w:spacing w:after="100" w:before="100"/>
            </w:pPr>
            <w:r>
              <w:t>[Firm version, review date and earlier review triggers]</w:t>
            </w:r>
          </w:p>
        </w:tc>
      </w:tr>
      <w:tr>
        <w:trPr>
          <w:cantSplit/>
        </w:trPr>
        <w:tc>
          <w:tcPr>
            <w:tcW w:type="dxa" w:w="2880"/>
            <w:vAlign w:val="center"/>
          </w:tcPr>
          <w:p>
            <w:pPr>
              <w:spacing w:after="100" w:before="100"/>
            </w:pPr>
            <w:r>
              <w:t>Controlled copy</w:t>
            </w:r>
          </w:p>
        </w:tc>
        <w:tc>
          <w:tcPr>
            <w:tcW w:type="dxa" w:w="7056"/>
            <w:vAlign w:val="center"/>
          </w:tcPr>
          <w:p>
            <w:pPr>
              <w:spacing w:after="100" w:before="100"/>
            </w:pPr>
            <w:r>
              <w:t>[Location of approved policy and superseded versions]</w:t>
            </w:r>
          </w:p>
        </w:tc>
      </w:tr>
    </w:tbl>
    <w:p/>
    <w:p>
      <w:r>
        <w:t>You may copy and adapt this resource for your own practice. Keep an original reference copy and record the changes you make. Examples are entirely fictional and must not be used as actual screening evidence.</w:t>
      </w:r>
    </w:p>
    <w:p>
      <w:r>
        <w:br w:type="page"/>
      </w:r>
    </w:p>
    <w:p>
      <w:pPr>
        <w:pStyle w:val="Heading1"/>
      </w:pPr>
      <w:r>
        <w:t>1  Scope and responsibilities</w:t>
      </w:r>
    </w:p>
    <w:p>
      <w:pPr>
        <w:pStyle w:val="Heading2"/>
      </w:pPr>
      <w:r>
        <w:t>Sample policy wording</w:t>
      </w:r>
    </w:p>
    <w:p>
      <w:r>
        <w:t>Our firm, [firm name], uses sanctions screening and review to support decisions about [services and activities]. This policy applies to [teams and offices]. The policy owner maintains it alongside [firm-wide risk assessment reference], our engagement or matter procedures and relevant financial-crime controls. A screening result does not by itself establish that all proposed work is lawful.</w:t>
      </w:r>
    </w:p>
    <w:p>
      <w:r>
        <w:t>For each engagement or matter, [role] records the client, proposed work, relevant countries, ownership or control questions, instructing parties and payment arrangements. They identify the subjects requiring screening and the reason for including them. Unknown information is recorded and assigned for follow-up. Staff do not label an incomplete assessment as complete.</w:t>
      </w:r>
    </w:p>
    <w:p>
      <w:r>
        <w:t>Where the work may engage a country, sector, trade or professional-services restriction, [role] arranges a separate assessment before the affected work proceeds. Staff use [contact route] for unfamiliar or uncertain cases. This screening policy does not replace that assessment or any required legal advice.</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056"/>
      </w:tblGrid>
      <w:tr>
        <w:trPr>
          <w:tblHeader/>
          <w:cantSplit/>
        </w:trPr>
        <w:tc>
          <w:tcPr>
            <w:tcW w:type="dxa" w:w="2880"/>
            <w:shd w:fill="E8EDEB"/>
            <w:vAlign w:val="center"/>
          </w:tcPr>
          <w:p>
            <w:pPr>
              <w:spacing w:after="100" w:before="100"/>
            </w:pPr>
            <w:r>
              <w:rPr>
                <w:b/>
              </w:rPr>
              <w:t>Responsibility</w:t>
            </w:r>
          </w:p>
        </w:tc>
        <w:tc>
          <w:tcPr>
            <w:tcW w:type="dxa" w:w="7056"/>
            <w:shd w:fill="E8EDEB"/>
            <w:vAlign w:val="center"/>
          </w:tcPr>
          <w:p>
            <w:pPr>
              <w:spacing w:after="100" w:before="100"/>
            </w:pPr>
            <w:r>
              <w:rPr>
                <w:b/>
              </w:rPr>
              <w:t>Firm allocation</w:t>
            </w:r>
          </w:p>
        </w:tc>
      </w:tr>
      <w:tr>
        <w:trPr>
          <w:cantSplit/>
        </w:trPr>
        <w:tc>
          <w:tcPr>
            <w:tcW w:type="dxa" w:w="2880"/>
            <w:vAlign w:val="center"/>
          </w:tcPr>
          <w:p>
            <w:pPr>
              <w:spacing w:after="100" w:before="100"/>
            </w:pPr>
            <w:r>
              <w:t>Policy ownership</w:t>
            </w:r>
          </w:p>
        </w:tc>
        <w:tc>
          <w:tcPr>
            <w:tcW w:type="dxa" w:w="7056"/>
            <w:vAlign w:val="center"/>
          </w:tcPr>
          <w:p>
            <w:pPr>
              <w:spacing w:after="100" w:before="100"/>
            </w:pPr>
            <w:r>
              <w:t>[Owner] maintains scope, source inventory, training and review dates; [deputy] covers absence.</w:t>
            </w:r>
          </w:p>
        </w:tc>
      </w:tr>
      <w:tr>
        <w:trPr>
          <w:cantSplit/>
        </w:trPr>
        <w:tc>
          <w:tcPr>
            <w:tcW w:type="dxa" w:w="2880"/>
            <w:vAlign w:val="center"/>
          </w:tcPr>
          <w:p>
            <w:pPr>
              <w:spacing w:after="100" w:before="100"/>
            </w:pPr>
            <w:r>
              <w:t>Screening</w:t>
            </w:r>
          </w:p>
        </w:tc>
        <w:tc>
          <w:tcPr>
            <w:tcW w:type="dxa" w:w="7056"/>
            <w:vAlign w:val="center"/>
          </w:tcPr>
          <w:p>
            <w:pPr>
              <w:spacing w:after="100" w:before="100"/>
            </w:pPr>
            <w:r>
              <w:t>[Operator role] checks the defined subjects and saves complete results.</w:t>
            </w:r>
          </w:p>
        </w:tc>
      </w:tr>
      <w:tr>
        <w:trPr>
          <w:cantSplit/>
        </w:trPr>
        <w:tc>
          <w:tcPr>
            <w:tcW w:type="dxa" w:w="2880"/>
            <w:vAlign w:val="center"/>
          </w:tcPr>
          <w:p>
            <w:pPr>
              <w:spacing w:after="100" w:before="100"/>
            </w:pPr>
            <w:r>
              <w:t>Review and escalation</w:t>
            </w:r>
          </w:p>
        </w:tc>
        <w:tc>
          <w:tcPr>
            <w:tcW w:type="dxa" w:w="7056"/>
            <w:vAlign w:val="center"/>
          </w:tcPr>
          <w:p>
            <w:pPr>
              <w:spacing w:after="100" w:before="100"/>
            </w:pPr>
            <w:r>
              <w:t>[Reviewer] assesses alerts, open questions and reporting duties, obtaining advice where needed.</w:t>
            </w:r>
          </w:p>
        </w:tc>
      </w:tr>
      <w:tr>
        <w:trPr>
          <w:cantSplit/>
        </w:trPr>
        <w:tc>
          <w:tcPr>
            <w:tcW w:type="dxa" w:w="2880"/>
            <w:vAlign w:val="center"/>
          </w:tcPr>
          <w:p>
            <w:pPr>
              <w:spacing w:after="100" w:before="100"/>
            </w:pPr>
            <w:r>
              <w:t>Control of the work</w:t>
            </w:r>
          </w:p>
        </w:tc>
        <w:tc>
          <w:tcPr>
            <w:tcW w:type="dxa" w:w="7056"/>
            <w:vAlign w:val="center"/>
          </w:tcPr>
          <w:p>
            <w:pPr>
              <w:spacing w:after="100" w:before="100"/>
            </w:pPr>
            <w:r>
              <w:t>[Engagement or matter owner] applies holds and authorised next steps; [role] controls payments.</w:t>
            </w:r>
          </w:p>
        </w:tc>
      </w:tr>
    </w:tbl>
    <w:p/>
    <w:p>
      <w:pPr>
        <w:pStyle w:val="Heading2"/>
      </w:pPr>
      <w:r>
        <w:t>Tailoring notes</w:t>
      </w:r>
    </w:p>
    <w:p>
      <w:r>
        <w:t>A small practice may combine roles. Confirm who can act when the usual reviewer is absent and how urgent questions reach them. Accountancy teams should specify relevant service lines; legal teams should specify matter types, client-money responsibilities and applicable regulator guidance. These are suggested operational roles, not a list of statutory appointments. See sources 1–4 in section 9.</w:t>
      </w:r>
    </w:p>
    <w:p>
      <w:r>
        <w:br w:type="page"/>
      </w:r>
    </w:p>
    <w:p>
      <w:pPr>
        <w:pStyle w:val="Heading1"/>
      </w:pPr>
      <w:r>
        <w:t>2  Subjects sources and review triggers</w:t>
      </w:r>
    </w:p>
    <w:p>
      <w:pPr>
        <w:pStyle w:val="Heading2"/>
      </w:pPr>
      <w:r>
        <w:t>Sample policy wording</w:t>
      </w:r>
    </w:p>
    <w:p>
      <w:r>
        <w:t>Before [acceptance or matter decision], [role] creates the subject list from the engagement information. It covers the contracting client and relevant owners, controllers, instructing parties and payers, plus [other parties and rationale]. We record legal names, known aliases, available identifiers and their provenance. Missing details are assigned to [role] and reviewed before [decision point].</w:t>
      </w:r>
    </w:p>
    <w:p>
      <w:r>
        <w:t>We use [provider or manual method] against [lists], for the reasons recorded in [source inventory]. The current UK designation source is the UK Sanctions List. [Role] checks coverage, list-update arrangements and interruptions. We record the search time separately from available source publication and retrieval dates. Additional jurisdictions are assessed by [role]; coverage of a list does not mean its rules apply identically to every file.</w:t>
      </w:r>
    </w:p>
    <w:p>
      <w:r>
        <w:t>Ownership and control are assessed separately from the company-name result. [Role] records the structure, sources, intermediate entities and unresolved questions in [record location]. PSC data is an input, not a conclusive sanctions determination. Changes to ownership or control trigger a fresh assessment of the affected work.</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056"/>
      </w:tblGrid>
      <w:tr>
        <w:trPr>
          <w:tblHeader/>
          <w:cantSplit/>
        </w:trPr>
        <w:tc>
          <w:tcPr>
            <w:tcW w:type="dxa" w:w="2880"/>
            <w:shd w:fill="E8EDEB"/>
            <w:vAlign w:val="center"/>
          </w:tcPr>
          <w:p>
            <w:pPr>
              <w:spacing w:after="100" w:before="100"/>
            </w:pPr>
            <w:r>
              <w:rPr>
                <w:b/>
              </w:rPr>
              <w:t>Trigger</w:t>
            </w:r>
          </w:p>
        </w:tc>
        <w:tc>
          <w:tcPr>
            <w:tcW w:type="dxa" w:w="7056"/>
            <w:shd w:fill="E8EDEB"/>
            <w:vAlign w:val="center"/>
          </w:tcPr>
          <w:p>
            <w:pPr>
              <w:spacing w:after="100" w:before="100"/>
            </w:pPr>
            <w:r>
              <w:rPr>
                <w:b/>
              </w:rPr>
              <w:t>Complete the action and responsibility</w:t>
            </w:r>
          </w:p>
        </w:tc>
      </w:tr>
      <w:tr>
        <w:trPr>
          <w:cantSplit/>
        </w:trPr>
        <w:tc>
          <w:tcPr>
            <w:tcW w:type="dxa" w:w="2880"/>
            <w:vAlign w:val="center"/>
          </w:tcPr>
          <w:p>
            <w:pPr>
              <w:spacing w:after="100" w:before="100"/>
            </w:pPr>
            <w:r>
              <w:t>New engagement or matter</w:t>
            </w:r>
          </w:p>
        </w:tc>
        <w:tc>
          <w:tcPr>
            <w:tcW w:type="dxa" w:w="7056"/>
            <w:vAlign w:val="center"/>
          </w:tcPr>
          <w:p>
            <w:pPr>
              <w:spacing w:after="100" w:before="100"/>
            </w:pPr>
            <w:r>
              <w:t>[Who acts, subjects, completion point and evidence location]</w:t>
            </w:r>
          </w:p>
        </w:tc>
      </w:tr>
      <w:tr>
        <w:trPr>
          <w:cantSplit/>
        </w:trPr>
        <w:tc>
          <w:tcPr>
            <w:tcW w:type="dxa" w:w="2880"/>
            <w:vAlign w:val="center"/>
          </w:tcPr>
          <w:p>
            <w:pPr>
              <w:spacing w:after="100" w:before="100"/>
            </w:pPr>
            <w:r>
              <w:t>Transaction or payment milestone</w:t>
            </w:r>
          </w:p>
        </w:tc>
        <w:tc>
          <w:tcPr>
            <w:tcW w:type="dxa" w:w="7056"/>
            <w:vAlign w:val="center"/>
          </w:tcPr>
          <w:p>
            <w:pPr>
              <w:spacing w:after="100" w:before="100"/>
            </w:pPr>
            <w:r>
              <w:t>[Which milestones, who acts and who controls the next step]</w:t>
            </w:r>
          </w:p>
        </w:tc>
      </w:tr>
      <w:tr>
        <w:trPr>
          <w:cantSplit/>
        </w:trPr>
        <w:tc>
          <w:tcPr>
            <w:tcW w:type="dxa" w:w="2880"/>
            <w:vAlign w:val="center"/>
          </w:tcPr>
          <w:p>
            <w:pPr>
              <w:spacing w:after="100" w:before="100"/>
            </w:pPr>
            <w:r>
              <w:t>Changed identity ownership or payer</w:t>
            </w:r>
          </w:p>
        </w:tc>
        <w:tc>
          <w:tcPr>
            <w:tcW w:type="dxa" w:w="7056"/>
            <w:vAlign w:val="center"/>
          </w:tcPr>
          <w:p>
            <w:pPr>
              <w:spacing w:after="100" w:before="100"/>
            </w:pPr>
            <w:r>
              <w:t>[How the information reaches the reviewer and who updates the file]</w:t>
            </w:r>
          </w:p>
        </w:tc>
      </w:tr>
      <w:tr>
        <w:trPr>
          <w:cantSplit/>
        </w:trPr>
        <w:tc>
          <w:tcPr>
            <w:tcW w:type="dxa" w:w="2880"/>
            <w:vAlign w:val="center"/>
          </w:tcPr>
          <w:p>
            <w:pPr>
              <w:spacing w:after="100" w:before="100"/>
            </w:pPr>
            <w:r>
              <w:t>Relevant list changes and periodic review</w:t>
            </w:r>
          </w:p>
        </w:tc>
        <w:tc>
          <w:tcPr>
            <w:tcW w:type="dxa" w:w="7056"/>
            <w:vAlign w:val="center"/>
          </w:tcPr>
          <w:p>
            <w:pPr>
              <w:spacing w:after="100" w:before="100"/>
            </w:pPr>
            <w:r>
              <w:t>[Process, justified timing, owner and absence cover]</w:t>
            </w:r>
          </w:p>
        </w:tc>
      </w:tr>
    </w:tbl>
    <w:p/>
    <w:p>
      <w:pPr>
        <w:pStyle w:val="Heading2"/>
      </w:pPr>
      <w:r>
        <w:t>Tailoring notes</w:t>
      </w:r>
    </w:p>
    <w:p>
      <w:r>
        <w:t>Choose intervals and event triggers for your actual exposure; there is no default interval in this pack. Check that promised monitoring exists and alerts have owners. Replace retired OFSI Consolidated List references. Confirm foreign-list choices against the obligations relevant to your firm. See sources 1, 5 and 6 in section 9.</w:t>
      </w:r>
    </w:p>
    <w:p>
      <w:r>
        <w:br w:type="page"/>
      </w:r>
    </w:p>
    <w:p>
      <w:pPr>
        <w:pStyle w:val="Heading1"/>
      </w:pPr>
      <w:r>
        <w:t>3  Review escalation and reporting</w:t>
      </w:r>
    </w:p>
    <w:p>
      <w:pPr>
        <w:pStyle w:val="Heading2"/>
      </w:pPr>
      <w:r>
        <w:t>Sample policy wording</w:t>
      </w:r>
    </w:p>
    <w:p>
      <w:r>
        <w:t>The operator preserves each potential match and sends it to [reviewer] through [channel]. The reviewer compares available identifiers with the current list entry and documents agreement, discrepancy and missing evidence. A similarity score is not a compliance decision. If the reviewer cannot resolve a plausible match, they record the uncertainty and seek [specialist advice or OFSI assistance as appropriate].</w:t>
      </w:r>
    </w:p>
    <w:p>
      <w:r>
        <w:t>While a plausible match remains unresolved, [role] records and communicates a hold on the affected [payment, transfer, engagement or service decision]. [Authorised role] may release the internal hold only after documenting the basis and the permitted next step. Internal labels do not replace the legal assessment of the applicable restriction. Staff must not move or return assets merely to resolve an alert.</w:t>
      </w:r>
    </w:p>
    <w:p>
      <w:r>
        <w:t>We distinguish a completed no-match search, a potential match under review, a reasoned clearance as a different person, and an escalation for restrictions assessment. Failed or incomplete searches remain incomplete. Ownership and service-restriction questions are recorded separately even when the name search has no results.</w:t>
      </w:r>
    </w:p>
    <w:p>
      <w:r>
        <w:t>[Role] assesses the applicable OFSI reporting duty promptly and submits any required report through the appropriate official route. Internal sign-off must not delay a statutory reporting obligation. The record includes when the concern arose, the basis for the assessment, identifying information, relevant funds or economic resources held, and the report reference or other action. Legal privilege is assessed by [qualified role] where applicable; other regulator, trade-sanctions or AML reports are considered separately.</w:t>
      </w:r>
    </w:p>
    <w:p>
      <w:pPr>
        <w:pStyle w:val="Heading2"/>
      </w:pPr>
      <w:r>
        <w:t>Urgency and absence cover</w:t>
      </w:r>
    </w:p>
    <w:p>
      <w:r>
        <w:t>If the usual reviewer is unavailable, staff contact [deputy and contact method]. If neither is available, [urgent route] applies and affected work remains subject to the recorded hold. Commercial pressure or a completion deadline does not authorise a prohibited action.</w:t>
      </w:r>
    </w:p>
    <w:p>
      <w:pPr>
        <w:pStyle w:val="Heading2"/>
      </w:pPr>
      <w:r>
        <w:t>Tailoring notes</w:t>
      </w:r>
    </w:p>
    <w:p>
      <w:r>
        <w:t>Identify the exact regime and professional duties relevant to your firm. OFSI describes reporting by relevant firms as required as soon as practicable in the specified circumstances. Do not substitute an internal target time. Do not pre-approve a licence or assume another adviser reports on your behalf. See sources 1, 3 and 7 in section 9.</w:t>
      </w:r>
    </w:p>
    <w:p>
      <w:r>
        <w:br w:type="page"/>
      </w:r>
    </w:p>
    <w:p>
      <w:pPr>
        <w:pStyle w:val="Heading1"/>
      </w:pPr>
      <w:r>
        <w:t>4  Evidence interruptions and governance</w:t>
      </w:r>
    </w:p>
    <w:p>
      <w:pPr>
        <w:pStyle w:val="Heading2"/>
      </w:pPr>
      <w:r>
        <w:t>Sample policy wording</w:t>
      </w:r>
    </w:p>
    <w:p>
      <w:r>
        <w:t>We retain the subject and role, input, operator, search time, list or provider context, completed result, review evidence and decision. The record identifies the proposed work, hold or release instruction, reviewer, outstanding actions and next trigger. Advice and report references are connected to the file using [case or matter reference]. Earlier decisions are preserved when new evidence arrives.</w:t>
      </w:r>
    </w:p>
    <w:p>
      <w:r>
        <w:t>Records are stored in [controlled location] with access for [roles]. Our approved retention schedule [reference] specifies record categories, retention triggers and durations, reasons for retention, deletion responsibility and legal holds. [Role] confirms applicable legal, professional and data-protection requirements. We do not treat a temporary provider result view as our permanent archive.</w:t>
      </w:r>
    </w:p>
    <w:p>
      <w:r>
        <w:t>If a required source or system is unavailable, [role] records the interruption and affected work and escalates to [reviewer]. Any authorised alternative check records its method, sources, limitations and decision. [Role] reconciles the record after recovery. A failed search or incomplete batch is not recorded as a negative result.</w:t>
      </w:r>
    </w:p>
    <w:p>
      <w:r>
        <w:t>[Owner] briefs staff on this policy, records training and arranges scenario exercises at [justified interval or triggers]. [Reviewer] samples [scope and timing] to check the quality of records, unresolved alerts and handovers. Findings receive an owner and completion date. Recurring weaknesses are considered when reviewing the procedure.</w:t>
      </w:r>
    </w:p>
    <w:p>
      <w:r>
        <w:t>This policy is reviewed on [date] and sooner after relevant changes to services, guidance, source coverage, staff responsibilities or controls. [Approver] signs off revisions. [Owner] updates forms and instructions, distributes the approved version and preserves the superseded copy.</w:t>
      </w:r>
    </w:p>
    <w:p>
      <w:pPr>
        <w:pStyle w:val="Heading2"/>
      </w:pPr>
      <w:r>
        <w:t>Approval checklist</w:t>
      </w:r>
    </w:p>
    <w:p>
      <w:pPr>
        <w:pStyle w:val="ListBullet"/>
      </w:pPr>
      <w:r>
        <w:t>Every bracketed field resolved and the procedure matched to the firm’s actual systems.</w:t>
      </w:r>
    </w:p>
    <w:p>
      <w:pPr>
        <w:pStyle w:val="ListBullet"/>
      </w:pPr>
      <w:r>
        <w:t>Responsibilities accepted and deputy cover confirmed.</w:t>
      </w:r>
    </w:p>
    <w:p>
      <w:pPr>
        <w:pStyle w:val="ListBullet"/>
      </w:pPr>
      <w:r>
        <w:t>Reporting routes and regulatory scope checked by the responsible person.</w:t>
      </w:r>
    </w:p>
    <w:p>
      <w:pPr>
        <w:pStyle w:val="ListBullet"/>
      </w:pPr>
      <w:r>
        <w:t>Evidence location, access and retention arrangements agreed.</w:t>
      </w:r>
    </w:p>
    <w:p>
      <w:pPr>
        <w:pStyle w:val="ListBullet"/>
      </w:pPr>
      <w:r>
        <w:t>Normal, unresolved and interrupted checks rehearsed; version approved and staff briefed.</w:t>
      </w:r>
    </w:p>
    <w:p>
      <w:r>
        <w:br w:type="page"/>
      </w:r>
    </w:p>
    <w:p>
      <w:pPr>
        <w:pStyle w:val="Heading1"/>
      </w:pPr>
      <w:r>
        <w:t>5  Staff procedure to adapt</w:t>
      </w:r>
    </w:p>
    <w:p>
      <w:r>
        <w:t>Put this procedure where onboarding and matter staff can find it. Replace role and system references with the approved firm arrangements. The sequence is suggested; an urgent reporting duty must not wait for administrative completion.</w:t>
      </w:r>
    </w:p>
    <w:p>
      <w:pPr>
        <w:pStyle w:val="Heading2"/>
      </w:pPr>
      <w:r>
        <w:t>1  Define the task</w:t>
      </w:r>
    </w:p>
    <w:p>
      <w:r>
        <w:t>Identify the engagement or matter, proposed action, relevant parties, trigger and deadline. Record who controls the next step.</w:t>
      </w:r>
    </w:p>
    <w:p>
      <w:pPr>
        <w:pStyle w:val="Heading2"/>
      </w:pPr>
      <w:r>
        <w:t>2  Confirm the subjects</w:t>
      </w:r>
    </w:p>
    <w:p>
      <w:r>
        <w:t>Use legal names and available identifiers. Record each subject’s role, data source and missing information. Refer unclear ownership or control for assessment.</w:t>
      </w:r>
    </w:p>
    <w:p>
      <w:pPr>
        <w:pStyle w:val="Heading2"/>
      </w:pPr>
      <w:r>
        <w:t>3  Run and preserve the check</w:t>
      </w:r>
    </w:p>
    <w:p>
      <w:r>
        <w:t>Use approved current sources. Save the input, operator, time, source context and completed result. Identify failures or incomplete rows separately.</w:t>
      </w:r>
    </w:p>
    <w:p>
      <w:pPr>
        <w:pStyle w:val="Heading2"/>
      </w:pPr>
      <w:r>
        <w:t>4  Review possible matches</w:t>
      </w:r>
    </w:p>
    <w:p>
      <w:r>
        <w:t>Compare identifiers with the current entry. Record the candidate reference and evidence that supports or challenges the match. Leave uncertainty explicit.</w:t>
      </w:r>
    </w:p>
    <w:p>
      <w:pPr>
        <w:pStyle w:val="Heading2"/>
      </w:pPr>
      <w:r>
        <w:t>5  Escalate and control affected work</w:t>
      </w:r>
    </w:p>
    <w:p>
      <w:r>
        <w:t>Use the named reviewer and deputy route. Record any hold and tell the person who controls the affected activity. Arrange restrictions, reporting and advice assessments as needed.</w:t>
      </w:r>
    </w:p>
    <w:p>
      <w:pPr>
        <w:pStyle w:val="Heading2"/>
      </w:pPr>
      <w:r>
        <w:t>6  Record the authorised outcome</w:t>
      </w:r>
    </w:p>
    <w:p>
      <w:r>
        <w:t>State the reason, reviewer, time, limitations and next step. A result alone does not decide whether the engagement or transaction may proceed.</w:t>
      </w:r>
    </w:p>
    <w:p>
      <w:pPr>
        <w:pStyle w:val="Heading2"/>
      </w:pPr>
      <w:r>
        <w:t>7  Close actions and set the next trigger</w:t>
      </w:r>
    </w:p>
    <w:p>
      <w:r>
        <w:t>File evidence, report references and handover instructions. Assign open actions and review triggers. Preserve earlier decisions when later information changes the assessment.</w:t>
      </w:r>
    </w:p>
    <w:p>
      <w:r>
        <w:t>If you cannot identify the owner of an unresolved issue, escalate the handover gap itself. Do not assume a colleague, bank, intermediary or client has completed your firm’s required action.</w:t>
      </w:r>
    </w:p>
    <w:p>
      <w:r>
        <w:br w:type="page"/>
      </w:r>
    </w:p>
    <w:p>
      <w:pPr>
        <w:pStyle w:val="Heading1"/>
      </w:pPr>
      <w:r>
        <w:t>6  Blank screening and review record</w:t>
      </w:r>
    </w:p>
    <w:p>
      <w:r>
        <w:t>Duplicate this page for each subject or linked review. Expand the cells as needed. Use references to controlled evidence and avoid unnecessary personal data. This is a record design, not a prescribed legal form.</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056"/>
      </w:tblGrid>
      <w:tr>
        <w:trPr>
          <w:tblHeader/>
          <w:cantSplit/>
        </w:trPr>
        <w:tc>
          <w:tcPr>
            <w:tcW w:type="dxa" w:w="2880"/>
            <w:shd w:fill="E8EDEB"/>
            <w:vAlign w:val="center"/>
          </w:tcPr>
          <w:p>
            <w:pPr>
              <w:spacing w:after="100" w:before="100"/>
            </w:pPr>
            <w:r>
              <w:rPr>
                <w:b/>
              </w:rPr>
              <w:t>Field</w:t>
            </w:r>
          </w:p>
        </w:tc>
        <w:tc>
          <w:tcPr>
            <w:tcW w:type="dxa" w:w="7056"/>
            <w:shd w:fill="E8EDEB"/>
            <w:vAlign w:val="center"/>
          </w:tcPr>
          <w:p>
            <w:pPr>
              <w:spacing w:after="100" w:before="100"/>
            </w:pPr>
            <w:r>
              <w:rPr>
                <w:b/>
              </w:rPr>
              <w:t>Complete with facts and references</w:t>
            </w:r>
          </w:p>
        </w:tc>
      </w:tr>
      <w:tr>
        <w:trPr>
          <w:cantSplit/>
        </w:trPr>
        <w:tc>
          <w:tcPr>
            <w:tcW w:type="dxa" w:w="2880"/>
            <w:vAlign w:val="center"/>
          </w:tcPr>
          <w:p>
            <w:pPr>
              <w:spacing w:after="100" w:before="100"/>
            </w:pPr>
            <w:r>
              <w:t>Context and trigger</w:t>
            </w:r>
          </w:p>
        </w:tc>
        <w:tc>
          <w:tcPr>
            <w:tcW w:type="dxa" w:w="7056"/>
            <w:vAlign w:val="center"/>
          </w:tcPr>
          <w:p>
            <w:pPr>
              <w:spacing w:after="100" w:before="100"/>
            </w:pPr>
            <w:r>
              <w:t>[Client or matter reference; proposed work; trigger; deadline]</w:t>
            </w:r>
          </w:p>
        </w:tc>
      </w:tr>
      <w:tr>
        <w:trPr>
          <w:cantSplit/>
        </w:trPr>
        <w:tc>
          <w:tcPr>
            <w:tcW w:type="dxa" w:w="2880"/>
            <w:vAlign w:val="center"/>
          </w:tcPr>
          <w:p>
            <w:pPr>
              <w:spacing w:after="100" w:before="100"/>
            </w:pPr>
            <w:r>
              <w:t>Subject and role</w:t>
            </w:r>
          </w:p>
        </w:tc>
        <w:tc>
          <w:tcPr>
            <w:tcW w:type="dxa" w:w="7056"/>
            <w:vAlign w:val="center"/>
          </w:tcPr>
          <w:p>
            <w:pPr>
              <w:spacing w:after="100" w:before="100"/>
            </w:pPr>
            <w:r>
              <w:t>[Legal name; entity type; role; identifiers; provenance; unknowns]</w:t>
            </w:r>
          </w:p>
        </w:tc>
      </w:tr>
      <w:tr>
        <w:trPr>
          <w:cantSplit/>
        </w:trPr>
        <w:tc>
          <w:tcPr>
            <w:tcW w:type="dxa" w:w="2880"/>
            <w:vAlign w:val="center"/>
          </w:tcPr>
          <w:p>
            <w:pPr>
              <w:spacing w:after="100" w:before="100"/>
            </w:pPr>
            <w:r>
              <w:t>Search evidence</w:t>
            </w:r>
          </w:p>
        </w:tc>
        <w:tc>
          <w:tcPr>
            <w:tcW w:type="dxa" w:w="7056"/>
            <w:vAlign w:val="center"/>
          </w:tcPr>
          <w:p>
            <w:pPr>
              <w:spacing w:after="100" w:before="100"/>
            </w:pPr>
            <w:r>
              <w:t>[Operator; date/time; input; lists/provider; source dates; result reference]</w:t>
            </w:r>
          </w:p>
        </w:tc>
      </w:tr>
      <w:tr>
        <w:trPr>
          <w:cantSplit/>
        </w:trPr>
        <w:tc>
          <w:tcPr>
            <w:tcW w:type="dxa" w:w="2880"/>
            <w:vAlign w:val="center"/>
          </w:tcPr>
          <w:p>
            <w:pPr>
              <w:spacing w:after="100" w:before="100"/>
            </w:pPr>
            <w:r>
              <w:t>Candidate comparison</w:t>
            </w:r>
          </w:p>
        </w:tc>
        <w:tc>
          <w:tcPr>
            <w:tcW w:type="dxa" w:w="7056"/>
            <w:vAlign w:val="center"/>
          </w:tcPr>
          <w:p>
            <w:pPr>
              <w:spacing w:after="100" w:before="100"/>
            </w:pPr>
            <w:r>
              <w:t>[Entry identifier; agreements; discrepancies; missing evidence; documents]</w:t>
            </w:r>
          </w:p>
        </w:tc>
      </w:tr>
      <w:tr>
        <w:trPr>
          <w:cantSplit/>
        </w:trPr>
        <w:tc>
          <w:tcPr>
            <w:tcW w:type="dxa" w:w="2880"/>
            <w:vAlign w:val="center"/>
          </w:tcPr>
          <w:p>
            <w:pPr>
              <w:spacing w:after="100" w:before="100"/>
            </w:pPr>
            <w:r>
              <w:t>Separate questions</w:t>
            </w:r>
          </w:p>
        </w:tc>
        <w:tc>
          <w:tcPr>
            <w:tcW w:type="dxa" w:w="7056"/>
            <w:vAlign w:val="center"/>
          </w:tcPr>
          <w:p>
            <w:pPr>
              <w:spacing w:after="100" w:before="100"/>
            </w:pPr>
            <w:r>
              <w:t>[Ownership/control; service restrictions; privilege; advice references]</w:t>
            </w:r>
          </w:p>
        </w:tc>
      </w:tr>
      <w:tr>
        <w:trPr>
          <w:cantSplit/>
        </w:trPr>
        <w:tc>
          <w:tcPr>
            <w:tcW w:type="dxa" w:w="2880"/>
            <w:vAlign w:val="center"/>
          </w:tcPr>
          <w:p>
            <w:pPr>
              <w:spacing w:after="100" w:before="100"/>
            </w:pPr>
            <w:r>
              <w:t>Outcome and reasoning</w:t>
            </w:r>
          </w:p>
        </w:tc>
        <w:tc>
          <w:tcPr>
            <w:tcW w:type="dxa" w:w="7056"/>
            <w:vAlign w:val="center"/>
          </w:tcPr>
          <w:p>
            <w:pPr>
              <w:spacing w:after="100" w:before="100"/>
            </w:pPr>
            <w:r>
              <w:t>[Completed no match / open / cleared as different person / escalated; reasons and limits]</w:t>
            </w:r>
          </w:p>
        </w:tc>
      </w:tr>
      <w:tr>
        <w:trPr>
          <w:cantSplit/>
        </w:trPr>
        <w:tc>
          <w:tcPr>
            <w:tcW w:type="dxa" w:w="2880"/>
            <w:vAlign w:val="center"/>
          </w:tcPr>
          <w:p>
            <w:pPr>
              <w:spacing w:after="100" w:before="100"/>
            </w:pPr>
            <w:r>
              <w:t>Work affected</w:t>
            </w:r>
          </w:p>
        </w:tc>
        <w:tc>
          <w:tcPr>
            <w:tcW w:type="dxa" w:w="7056"/>
            <w:vAlign w:val="center"/>
          </w:tcPr>
          <w:p>
            <w:pPr>
              <w:spacing w:after="100" w:before="100"/>
            </w:pPr>
            <w:r>
              <w:t>[Hold or authorised next action; owner; time; acknowledgement]</w:t>
            </w:r>
          </w:p>
        </w:tc>
      </w:tr>
      <w:tr>
        <w:trPr>
          <w:cantSplit/>
        </w:trPr>
        <w:tc>
          <w:tcPr>
            <w:tcW w:type="dxa" w:w="2880"/>
            <w:vAlign w:val="center"/>
          </w:tcPr>
          <w:p>
            <w:pPr>
              <w:spacing w:after="100" w:before="100"/>
            </w:pPr>
            <w:r>
              <w:t>Reporting assessment</w:t>
            </w:r>
          </w:p>
        </w:tc>
        <w:tc>
          <w:tcPr>
            <w:tcW w:type="dxa" w:w="7056"/>
            <w:vAlign w:val="center"/>
          </w:tcPr>
          <w:p>
            <w:pPr>
              <w:spacing w:after="100" w:before="100"/>
            </w:pPr>
            <w:r>
              <w:t>[Responsible person; applicable duty; basis; action/time; report reference if made]</w:t>
            </w:r>
          </w:p>
        </w:tc>
      </w:tr>
      <w:tr>
        <w:trPr>
          <w:cantSplit/>
        </w:trPr>
        <w:tc>
          <w:tcPr>
            <w:tcW w:type="dxa" w:w="2880"/>
            <w:vAlign w:val="center"/>
          </w:tcPr>
          <w:p>
            <w:pPr>
              <w:spacing w:after="100" w:before="100"/>
            </w:pPr>
            <w:r>
              <w:t>Reviewer and follow-up</w:t>
            </w:r>
          </w:p>
        </w:tc>
        <w:tc>
          <w:tcPr>
            <w:tcW w:type="dxa" w:w="7056"/>
            <w:vAlign w:val="center"/>
          </w:tcPr>
          <w:p>
            <w:pPr>
              <w:spacing w:after="100" w:before="100"/>
            </w:pPr>
            <w:r>
              <w:t>[Reviewer/date; open actions; owners; deadlines; next review trigger]</w:t>
            </w:r>
          </w:p>
        </w:tc>
      </w:tr>
      <w:tr>
        <w:trPr>
          <w:cantSplit/>
        </w:trPr>
        <w:tc>
          <w:tcPr>
            <w:tcW w:type="dxa" w:w="2880"/>
            <w:vAlign w:val="center"/>
          </w:tcPr>
          <w:p>
            <w:pPr>
              <w:spacing w:after="100" w:before="100"/>
            </w:pPr>
            <w:r>
              <w:t>Storage and retention</w:t>
            </w:r>
          </w:p>
        </w:tc>
        <w:tc>
          <w:tcPr>
            <w:tcW w:type="dxa" w:w="7056"/>
            <w:vAlign w:val="center"/>
          </w:tcPr>
          <w:p>
            <w:pPr>
              <w:spacing w:after="100" w:before="100"/>
            </w:pPr>
            <w:r>
              <w:t>[Controlled location; access; applicable schedule; legal hold if any]</w:t>
            </w:r>
          </w:p>
        </w:tc>
      </w:tr>
    </w:tbl>
    <w:p/>
    <w:p>
      <w:r>
        <w:br w:type="page"/>
      </w:r>
    </w:p>
    <w:p>
      <w:pPr>
        <w:pStyle w:val="Heading1"/>
      </w:pPr>
      <w:r>
        <w:t>7  Annotated fictional accountancy example</w:t>
      </w:r>
    </w:p>
    <w:p>
      <w:r>
        <w:t>Training example only. The company names and references below are invented. No searches, legal assessments or regulatory reports described here have actually occurred.</w:t>
      </w:r>
    </w:p>
    <w:p>
      <w:pPr>
        <w:pStyle w:val="Heading2"/>
      </w:pPr>
      <w:r>
        <w:t>Scenario</w:t>
      </w:r>
    </w:p>
    <w:p>
      <w:r>
        <w:t>A 12-person accountancy practice is asked to provide bookkeeping and tax services to Example Trading Ltd. An overseas parent owns the client and a sister company proposes to pay the fee. The engagement manager maps the relationship before passing a defined subject list to the screening operator.</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056"/>
      </w:tblGrid>
      <w:tr>
        <w:trPr>
          <w:tblHeader/>
          <w:cantSplit/>
        </w:trPr>
        <w:tc>
          <w:tcPr>
            <w:tcW w:type="dxa" w:w="2880"/>
            <w:shd w:fill="E8EDEB"/>
            <w:vAlign w:val="center"/>
          </w:tcPr>
          <w:p>
            <w:pPr>
              <w:spacing w:after="100" w:before="100"/>
            </w:pPr>
            <w:r>
              <w:rPr>
                <w:b/>
              </w:rPr>
              <w:t>Record item</w:t>
            </w:r>
          </w:p>
        </w:tc>
        <w:tc>
          <w:tcPr>
            <w:tcW w:type="dxa" w:w="7056"/>
            <w:shd w:fill="E8EDEB"/>
            <w:vAlign w:val="center"/>
          </w:tcPr>
          <w:p>
            <w:pPr>
              <w:spacing w:after="100" w:before="100"/>
            </w:pPr>
            <w:r>
              <w:rPr>
                <w:b/>
              </w:rPr>
              <w:t>Illustrative entry</w:t>
            </w:r>
          </w:p>
        </w:tc>
      </w:tr>
      <w:tr>
        <w:trPr>
          <w:cantSplit/>
        </w:trPr>
        <w:tc>
          <w:tcPr>
            <w:tcW w:type="dxa" w:w="2880"/>
            <w:vAlign w:val="center"/>
          </w:tcPr>
          <w:p>
            <w:pPr>
              <w:spacing w:after="100" w:before="100"/>
            </w:pPr>
            <w:r>
              <w:t>Task</w:t>
            </w:r>
          </w:p>
        </w:tc>
        <w:tc>
          <w:tcPr>
            <w:tcW w:type="dxa" w:w="7056"/>
            <w:vAlign w:val="center"/>
          </w:tcPr>
          <w:p>
            <w:pPr>
              <w:spacing w:after="100" w:before="100"/>
            </w:pPr>
            <w:r>
              <w:t>Training file DEMO-A; assess the proposed bookkeeping and tax engagement before acceptance.</w:t>
            </w:r>
          </w:p>
        </w:tc>
      </w:tr>
      <w:tr>
        <w:trPr>
          <w:cantSplit/>
        </w:trPr>
        <w:tc>
          <w:tcPr>
            <w:tcW w:type="dxa" w:w="2880"/>
            <w:vAlign w:val="center"/>
          </w:tcPr>
          <w:p>
            <w:pPr>
              <w:spacing w:after="100" w:before="100"/>
            </w:pPr>
            <w:r>
              <w:t>Search position</w:t>
            </w:r>
          </w:p>
        </w:tc>
        <w:tc>
          <w:tcPr>
            <w:tcW w:type="dxa" w:w="7056"/>
            <w:vAlign w:val="center"/>
          </w:tcPr>
          <w:p>
            <w:pPr>
              <w:spacing w:after="100" w:before="100"/>
            </w:pPr>
            <w:r>
              <w:t>In this fictional exercise, company-name searches return no match. A real record must attach actual inputs, identifiers, source context, dates and results.</w:t>
            </w:r>
          </w:p>
        </w:tc>
      </w:tr>
      <w:tr>
        <w:trPr>
          <w:cantSplit/>
        </w:trPr>
        <w:tc>
          <w:tcPr>
            <w:tcW w:type="dxa" w:w="2880"/>
            <w:vAlign w:val="center"/>
          </w:tcPr>
          <w:p>
            <w:pPr>
              <w:spacing w:after="100" w:before="100"/>
            </w:pPr>
            <w:r>
              <w:t>Open question</w:t>
            </w:r>
          </w:p>
        </w:tc>
        <w:tc>
          <w:tcPr>
            <w:tcW w:type="dxa" w:w="7056"/>
            <w:vAlign w:val="center"/>
          </w:tcPr>
          <w:p>
            <w:pPr>
              <w:spacing w:after="100" w:before="100"/>
            </w:pPr>
            <w:r>
              <w:t>Ultimate ownership of the parent has not been established. Engagement manager to obtain supporting structure documents and refer to the reviewer.</w:t>
            </w:r>
          </w:p>
        </w:tc>
      </w:tr>
      <w:tr>
        <w:trPr>
          <w:cantSplit/>
        </w:trPr>
        <w:tc>
          <w:tcPr>
            <w:tcW w:type="dxa" w:w="2880"/>
            <w:vAlign w:val="center"/>
          </w:tcPr>
          <w:p>
            <w:pPr>
              <w:spacing w:after="100" w:before="100"/>
            </w:pPr>
            <w:r>
              <w:t>Decision boundary</w:t>
            </w:r>
          </w:p>
        </w:tc>
        <w:tc>
          <w:tcPr>
            <w:tcW w:type="dxa" w:w="7056"/>
            <w:vAlign w:val="center"/>
          </w:tcPr>
          <w:p>
            <w:pPr>
              <w:spacing w:after="100" w:before="100"/>
            </w:pPr>
            <w:r>
              <w:t>The company-name result is recorded as no match; acceptance remains open pending the ownership and service assessment.</w:t>
            </w:r>
          </w:p>
        </w:tc>
      </w:tr>
      <w:tr>
        <w:trPr>
          <w:cantSplit/>
        </w:trPr>
        <w:tc>
          <w:tcPr>
            <w:tcW w:type="dxa" w:w="2880"/>
            <w:vAlign w:val="center"/>
          </w:tcPr>
          <w:p>
            <w:pPr>
              <w:spacing w:after="100" w:before="100"/>
            </w:pPr>
            <w:r>
              <w:t>Next action</w:t>
            </w:r>
          </w:p>
        </w:tc>
        <w:tc>
          <w:tcPr>
            <w:tcW w:type="dxa" w:w="7056"/>
            <w:vAlign w:val="center"/>
          </w:tcPr>
          <w:p>
            <w:pPr>
              <w:spacing w:after="100" w:before="100"/>
            </w:pPr>
            <w:r>
              <w:t>Responsible partner reviews the completed file and records the basis for any acceptance decision. The operator does not approve the engagement.</w:t>
            </w:r>
          </w:p>
        </w:tc>
      </w:tr>
    </w:tbl>
    <w:p/>
    <w:p>
      <w:pPr>
        <w:pStyle w:val="Heading2"/>
      </w:pPr>
      <w:r>
        <w:t>Why the wording matters</w:t>
      </w:r>
    </w:p>
    <w:p>
      <w:r>
        <w:t>The note states what the search established and what remains unknown. It does not label the entire client “clear”. The open question has an owner and is connected to the acceptance decision. A real case also needs a deadline, reviewer, evidence references and any applicable reporting assessment.</w:t>
      </w:r>
    </w:p>
    <w:p>
      <w:pPr>
        <w:pStyle w:val="Heading2"/>
      </w:pPr>
      <w:r>
        <w:t>Adapt for your practice</w:t>
      </w:r>
    </w:p>
    <w:p>
      <w:r>
        <w:t>Use your actual service lines and approval point. Check who hears about a new payer, group restructuring or changed instructions. The scenario does not establish the outcome for any real client with a similar structure.</w:t>
      </w:r>
    </w:p>
    <w:p>
      <w:r>
        <w:br w:type="page"/>
      </w:r>
    </w:p>
    <w:p>
      <w:pPr>
        <w:pStyle w:val="Heading1"/>
      </w:pPr>
      <w:r>
        <w:t>8  Fictional alert and change examples</w:t>
      </w:r>
    </w:p>
    <w:p>
      <w:pPr>
        <w:pStyle w:val="Heading2"/>
      </w:pPr>
      <w:r>
        <w:t>Conveyancing alert before completion</w:t>
      </w:r>
    </w:p>
    <w:p>
      <w:r>
        <w:t>A relevant party’s name returns a possible match shortly before a fictional property completion. The matter handler saves the result and identifies the pending payment. The reviewer compares the available identifiers and requests missing information. The matter owner communicates a hold on the affected step to the person controlling the payment.</w:t>
      </w:r>
    </w:p>
    <w:p>
      <w:r>
        <w:t>An adequate training note says: “DEMO-B remains unresolved. The missing identity evidence has been assigned to the matter handler. The reviewer is assessing restrictions, reporting and any privilege issue. The payment controller has acknowledged the hold. Next review: [exercise time].” This is an open case, not a clearance and not a conclusion that a breach occurred.</w:t>
      </w:r>
    </w:p>
    <w:p>
      <w:r>
        <w:t>Annotation: record the time the concern arose, the list-entry reference, the exact comparison and any subsequent report or advice reference in a real case. Escalate promptly. A deadline does not replace the assessment, and the example does not decide whether a licence is available.</w:t>
      </w:r>
    </w:p>
    <w:p>
      <w:pPr>
        <w:pStyle w:val="Heading2"/>
      </w:pPr>
      <w:r>
        <w:t>Ownership change during an engagement</w:t>
      </w:r>
    </w:p>
    <w:p>
      <w:r>
        <w:t>A fictional continuing client informs the payroll team of a new owner. The team uses the change route in the policy. The reviewer updates the relationship map, identifies new screening subjects and assesses the affected work. The previous decision is retained and a new dated record explains the information received and the next step.</w:t>
      </w:r>
    </w:p>
    <w:p>
      <w:r>
        <w:t>Annotation: “previously screened” answers a historical question. It does not establish the position after a material change. Give the new review an owner and connect any restrictions or conditions to the people carrying out the work.</w:t>
      </w:r>
    </w:p>
    <w:p>
      <w:pPr>
        <w:pStyle w:val="Heading2"/>
      </w:pPr>
      <w:r>
        <w:t>Use the examples in training</w:t>
      </w:r>
    </w:p>
    <w:p>
      <w:pPr>
        <w:pStyle w:val="ListBullet"/>
      </w:pPr>
      <w:r>
        <w:t>Who can find the original evidence and who can authorise the next step?</w:t>
      </w:r>
    </w:p>
    <w:p>
      <w:pPr>
        <w:pStyle w:val="ListBullet"/>
      </w:pPr>
      <w:r>
        <w:t>What is known, what is missing and who owns each open action?</w:t>
      </w:r>
    </w:p>
    <w:p>
      <w:pPr>
        <w:pStyle w:val="ListBullet"/>
      </w:pPr>
      <w:r>
        <w:t>How does a hold reach the person controlling the payment or service?</w:t>
      </w:r>
    </w:p>
    <w:p>
      <w:pPr>
        <w:pStyle w:val="ListBullet"/>
      </w:pPr>
      <w:r>
        <w:t>Where would a reporting or privilege question go if the usual reviewer were absent?</w:t>
      </w:r>
    </w:p>
    <w:p>
      <w:pPr>
        <w:pStyle w:val="ListBullet"/>
      </w:pPr>
      <w:r>
        <w:t>How would staff recognise and record an interrupted check?</w:t>
      </w:r>
    </w:p>
    <w:p>
      <w:r>
        <w:br w:type="page"/>
      </w:r>
    </w:p>
    <w:p>
      <w:pPr>
        <w:pStyle w:val="Heading1"/>
      </w:pPr>
      <w:r>
        <w:t>9  Sources and implementation guide</w:t>
      </w:r>
    </w:p>
    <w:p>
      <w:r>
        <w:t>Sources checked 25 September 2026. Follow the current guidance and applicable legislation when tailoring the policy and when making decisions. The links support the regulatory context; the sample operational clauses are Sanction Search’s suggested starting point.</w:t>
      </w:r>
    </w:p>
    <w:p>
      <w:hyperlink r:id="rId10">
        <w:r>
          <w:rPr>
            <w:color w:val="135E55"/>
            <w:u w:val="single"/>
          </w:rPr>
          <w:t>1  OFSI UK financial sanctions general guidance</w:t>
        </w:r>
      </w:hyperlink>
    </w:p>
    <w:p>
      <w:hyperlink r:id="rId11">
        <w:r>
          <w:rPr>
            <w:color w:val="135E55"/>
            <w:u w:val="single"/>
          </w:rPr>
          <w:t>2  SRA sanctions firm-wide risk assessments</w:t>
        </w:r>
      </w:hyperlink>
    </w:p>
    <w:p>
      <w:hyperlink r:id="rId12">
        <w:r>
          <w:rPr>
            <w:color w:val="135E55"/>
            <w:u w:val="single"/>
          </w:rPr>
          <w:t>3  SRA complying with the UK sanctions regime</w:t>
        </w:r>
      </w:hyperlink>
    </w:p>
    <w:p>
      <w:hyperlink r:id="rId13">
        <w:r>
          <w:rPr>
            <w:color w:val="135E55"/>
            <w:u w:val="single"/>
          </w:rPr>
          <w:t>4  ACCA client acceptance procedures</w:t>
        </w:r>
      </w:hyperlink>
    </w:p>
    <w:p>
      <w:hyperlink r:id="rId14">
        <w:r>
          <w:rPr>
            <w:color w:val="135E55"/>
            <w:u w:val="single"/>
          </w:rPr>
          <w:t>5  FCDO single UK sanctions list transition</w:t>
        </w:r>
      </w:hyperlink>
    </w:p>
    <w:p>
      <w:hyperlink r:id="rId15">
        <w:r>
          <w:rPr>
            <w:color w:val="135E55"/>
            <w:u w:val="single"/>
          </w:rPr>
          <w:t>6  Companies House people with significant control</w:t>
        </w:r>
      </w:hyperlink>
    </w:p>
    <w:p>
      <w:hyperlink r:id="rId16">
        <w:r>
          <w:rPr>
            <w:color w:val="135E55"/>
            <w:u w:val="single"/>
          </w:rPr>
          <w:t>7  OFSI reporting information and reporting routes</w:t>
        </w:r>
      </w:hyperlink>
    </w:p>
    <w:p>
      <w:hyperlink r:id="rId17">
        <w:r>
          <w:rPr>
            <w:color w:val="135E55"/>
            <w:u w:val="single"/>
          </w:rPr>
          <w:t>8  UK government starter guide to sanctions</w:t>
        </w:r>
      </w:hyperlink>
    </w:p>
    <w:p>
      <w:hyperlink r:id="rId18">
        <w:r>
          <w:rPr>
            <w:color w:val="135E55"/>
            <w:u w:val="single"/>
          </w:rPr>
          <w:t>9  Russia professional and business services guidance</w:t>
        </w:r>
      </w:hyperlink>
    </w:p>
    <w:p>
      <w:pPr>
        <w:pStyle w:val="Heading2"/>
      </w:pPr>
      <w:r>
        <w:t>Read the implementation guide</w:t>
      </w:r>
    </w:p>
    <w:p>
      <w:hyperlink r:id="rId19">
        <w:r>
          <w:rPr>
            <w:color w:val="135E55"/>
            <w:u w:val="single"/>
          </w:rPr>
          <w:t>UK sanctions screening policy template and practical guide</w:t>
        </w:r>
      </w:hyperlink>
    </w:p>
    <w:p>
      <w:r>
        <w:t>Sanction Search supports sanctions name screening, potential-match review and evidence exports. It does not provide identity verification, PEP or adverse-media screening, legal advice or a compliance guarantee. Check current product coverage and plan features before describing a software workflow in your approved policy.</w:t>
      </w:r>
    </w:p>
    <w:p>
      <w:hyperlink r:id="rId20">
        <w:r>
          <w:rPr>
            <w:color w:val="135E55"/>
            <w:u w:val="single"/>
          </w:rPr>
          <w:t>Product coverage and plan features</w:t>
        </w:r>
      </w:hyperlink>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Sanction Search  |  Template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ov.uk/government/publications/financial-sanctions-general-guidance/uk-financial-sanctions-general-guidance" TargetMode="External"/><Relationship Id="rId11" Type="http://schemas.openxmlformats.org/officeDocument/2006/relationships/hyperlink" Target="https://www.sra.org.uk/solicitors/guidance/sanctions-regime-firm-wide-risk-assessments/" TargetMode="External"/><Relationship Id="rId12" Type="http://schemas.openxmlformats.org/officeDocument/2006/relationships/hyperlink" Target="https://www.sra.org.uk/sanctions-guidance" TargetMode="External"/><Relationship Id="rId13" Type="http://schemas.openxmlformats.org/officeDocument/2006/relationships/hyperlink" Target="https://www.accaglobal.com/gb/en/technical-activities/uk-tech/in-practice-ezine-archive/In-Practice-archive-2026/july-august/Client-acceptance-procedures-under-AML-regulations.html" TargetMode="External"/><Relationship Id="rId14" Type="http://schemas.openxmlformats.org/officeDocument/2006/relationships/hyperlink" Target="https://www.gov.uk/guidance/moving-to-a-single-list-for-uk-sanctions-designations-28-january-2026" TargetMode="External"/><Relationship Id="rId15" Type="http://schemas.openxmlformats.org/officeDocument/2006/relationships/hyperlink" Target="https://www.gov.uk/guidance/people-with-significant-control-pscs" TargetMode="External"/><Relationship Id="rId16" Type="http://schemas.openxmlformats.org/officeDocument/2006/relationships/hyperlink" Target="https://www.gov.uk/guidance/suspected-breach-of-financial-sanctions-what-to-do" TargetMode="External"/><Relationship Id="rId17" Type="http://schemas.openxmlformats.org/officeDocument/2006/relationships/hyperlink" Target="https://www.gov.uk/guidance/starter-guide-to-uk-sanctions" TargetMode="External"/><Relationship Id="rId18" Type="http://schemas.openxmlformats.org/officeDocument/2006/relationships/hyperlink" Target="https://www.gov.uk/government/publications/professional-and-business-services-to-a-person-connected-with-russia/professional-and-business-services-to-a-person-connected-with-russia" TargetMode="External"/><Relationship Id="rId19" Type="http://schemas.openxmlformats.org/officeDocument/2006/relationships/hyperlink" Target="https://sanction-search.com/guides/uk-sanctions-screening-policy-template" TargetMode="External"/><Relationship Id="rId20" Type="http://schemas.openxmlformats.org/officeDocument/2006/relationships/hyperlink" Target="https://sanction-search.com/#pri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sanctions screening policy and procedure template</dc:title>
  <dc:subject>Editable practice policy, procedure, evidence record and fictional examples</dc:subject>
  <dc:creator>Sanction Search</dc:creator>
  <cp:keywords>UK sanctions; accountancy; legal practice; policy template</cp:keywords>
  <dc:description/>
  <cp:lastModifiedBy/>
  <cp:revision>1</cp:revision>
  <dcterms:created xsi:type="dcterms:W3CDTF">2013-12-23T23:15:00Z</dcterms:created>
  <dcterms:modified xsi:type="dcterms:W3CDTF">2013-12-23T23:15:00Z</dcterms:modified>
  <cp:category/>
</cp:coreProperties>
</file>